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rPr>
          <w:rFonts w:hint="eastAsia" w:ascii="宋体" w:hAnsi="宋体" w:eastAsia="宋体" w:cs="宋体"/>
          <w:color w:val="000000"/>
          <w:sz w:val="44"/>
          <w:szCs w:val="44"/>
        </w:rPr>
      </w:pPr>
      <w:bookmarkStart w:id="0" w:name="_Toc182046859"/>
      <w:r>
        <w:rPr>
          <w:rFonts w:hint="eastAsia" w:ascii="宋体" w:hAnsi="宋体" w:eastAsia="宋体" w:cs="宋体"/>
          <w:color w:val="000000"/>
          <w:sz w:val="44"/>
          <w:szCs w:val="44"/>
        </w:rPr>
        <w:t>投 标 邀 请 函</w:t>
      </w:r>
      <w:bookmarkEnd w:id="0"/>
    </w:p>
    <w:p>
      <w:pPr>
        <w:pStyle w:val="5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rPr>
          <w:rFonts w:hint="default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eastAsia="zh-CN"/>
        </w:rPr>
        <w:t>悦康集团安徽生物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制药有限公司新建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国家新版GMP认证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无菌原料药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车间建设项目设备招标预告</w:t>
      </w:r>
    </w:p>
    <w:p>
      <w:pPr>
        <w:autoSpaceDN w:val="0"/>
        <w:spacing w:line="23" w:lineRule="atLeast"/>
        <w:jc w:val="left"/>
        <w:rPr>
          <w:rFonts w:hint="default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招标编号：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YKAHWJ-001</w:t>
      </w:r>
      <w:bookmarkStart w:id="1" w:name="_GoBack"/>
      <w:bookmarkEnd w:id="1"/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开标时间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:2014年1月15日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b/>
          <w:bCs/>
          <w:color w:val="000000"/>
          <w:sz w:val="32"/>
          <w:szCs w:val="32"/>
          <w:lang w:eastAsia="zh-CN"/>
        </w:rPr>
        <w:t>1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、项目概况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eastAsia="zh-CN"/>
        </w:rPr>
        <w:t>悦康集团安徽生物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制药有限公司新建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eastAsia="zh-CN"/>
        </w:rPr>
        <w:t>头孢粗品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车间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eastAsia="zh-CN"/>
        </w:rPr>
        <w:t>、头孢无菌原料药车间和一个新品小合成车间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项目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eastAsia="zh-CN"/>
        </w:rPr>
        <w:t>，项目位于</w:t>
      </w:r>
      <w:r>
        <w:rPr>
          <w:rFonts w:hint="eastAsia"/>
          <w:color w:val="000000"/>
          <w:sz w:val="28"/>
        </w:rPr>
        <w:t>安徽省太和县经济开发区</w:t>
      </w:r>
      <w:r>
        <w:rPr>
          <w:rFonts w:hint="eastAsia"/>
          <w:color w:val="000000"/>
          <w:sz w:val="28"/>
          <w:lang w:eastAsia="zh-CN"/>
        </w:rPr>
        <w:t>，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占地约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6800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m2，建筑面积约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131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551m2，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b/>
          <w:bCs/>
          <w:color w:val="000000"/>
          <w:sz w:val="32"/>
          <w:szCs w:val="32"/>
          <w:lang w:eastAsia="zh-CN"/>
        </w:rPr>
        <w:t>2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、资质要求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1)报名单位近期有类似的销售业绩。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2）投标单位为在中境内注册的法人单位且为合格的纳税人，并能够独立承担民事法律责任。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3)与压力类设备有关的需提供压力容器资质证书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4、需提供的资料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1）营业执照；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2）税务登记证；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3）组织机构代码证；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4）工商管理部门出具的企业注册信息证明及相应资质证书；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5）近期销售的产品通过新版GMP的相关业绩。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br/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序号  设备名称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规格</w:t>
      </w:r>
      <w:r>
        <w:rPr>
          <w:rFonts w:hint="default" w:ascii="宋体" w:hAnsi="宋体" w:eastAsia="宋体"/>
          <w:color w:val="000000"/>
          <w:sz w:val="28"/>
          <w:szCs w:val="28"/>
          <w:lang w:eastAsia="zh-CN"/>
        </w:rPr>
        <w:t>及技术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要求</w:t>
      </w:r>
    </w:p>
    <w:tbl>
      <w:tblPr>
        <w:tblpPr w:leftFromText="180" w:rightFromText="180" w:vertAnchor="page" w:horzAnchor="page" w:tblpX="1785" w:tblpY="2418"/>
        <w:tblOverlap w:val="never"/>
        <w:tblW w:w="8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5"/>
        <w:gridCol w:w="1215"/>
        <w:gridCol w:w="1290"/>
        <w:gridCol w:w="1039"/>
        <w:gridCol w:w="956"/>
        <w:gridCol w:w="2175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数量（台）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混合单锥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无菌混粉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干燥单锥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无菌干燥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三合一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无菌过滤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结晶罐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5.5 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带夹套搅拌人孔变频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2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溶解罐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带夹套搅拌人孔变频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9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带夹套搅拌人孔变频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带夹套搅拌人孔变频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结晶罐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带夹套搅拌人孔变频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带夹套搅拌人孔变频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2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溶媒计量罐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</w:t>
            </w: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4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6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消毒液罐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带搅拌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2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带搅拌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溶媒储罐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母液储罐卧式人孔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9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上清液储罐卧式人孔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冷凝液接收储罐（耐负压）支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冷凝液接收储罐（耐负压）支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真空缓冲罐（耐负压）支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补水箱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" w:hRule="atLeast"/>
        </w:trPr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不锈钢计量罐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V1236耳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4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V1168支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R1205a-b耳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V1214a-b支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3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带搅拌人孔，计量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V1133a-c耳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6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带人孔加液口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V1141支、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V1164a-b支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9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V1166支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冷凝液收集罐，2视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（耐负压）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补水箱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溶媒中转罐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带夹套搅拌人孔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R3506耳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0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V3401支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V3601支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8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废溶媒储罐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液碱储罐带人孔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V1224支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新溶媒储罐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32m³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带人孔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碳钢罐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泄爆罐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V2351a-b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5m³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泄爆罐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V1160支、V1283支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真空缓冲罐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（耐负压）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8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搪瓷反应罐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Q345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工艺温度：-35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双层浆式，变频</w:t>
            </w:r>
          </w:p>
          <w:p>
            <w:pPr>
              <w:spacing w:line="360" w:lineRule="auto"/>
              <w:jc w:val="center"/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6300L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Q345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工艺温度：-35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锚式搅拌，变频</w:t>
            </w:r>
          </w:p>
          <w:p>
            <w:pPr>
              <w:spacing w:line="360" w:lineRule="auto"/>
              <w:jc w:val="center"/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Q345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工艺温度：-35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双层浆式</w:t>
            </w:r>
          </w:p>
          <w:p>
            <w:pPr>
              <w:spacing w:line="360" w:lineRule="auto"/>
              <w:jc w:val="center"/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浆式，变频-19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叶轮，转速60rpm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锚式搅拌，-19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双层浆式，变频-19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3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锚式搅拌，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带计量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0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6300L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双层浆式，变频-19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双层浆式，变频-19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3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锚式，变频-19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--200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℃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（正负压）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搪瓷储罐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计量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Q245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真空缓冲罐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4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离心机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1600mm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平板下卸料离心机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3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1600mm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平板下卸料离心机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1200mm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全涂塑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上出料普通型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6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1200mm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上出料洁净型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3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干燥双锥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2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0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1000L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搪玻璃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搪玻璃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旋风分离器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旋风分离器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正负压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6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制冷机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7℃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水冷离心机组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冷量2100KW,功率373  KW冷量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16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水冷螺杆机组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616KW,功率126KW;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-20℃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水冷中低温螺杆机组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:冷量432KW,功率211KW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-35℃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低温冷水机组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</w:rPr>
              <w:t>冷量287.6KW,输入功率241KW;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水系统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纯水机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8m3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304/316L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二级反参透+EDI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注射水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2m3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节能高效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纯蒸汽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1m3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217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节能高效</w:t>
            </w:r>
          </w:p>
        </w:tc>
        <w:tc>
          <w:tcPr>
            <w:tcW w:w="113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" w:hRule="atLeast"/>
        </w:trPr>
        <w:tc>
          <w:tcPr>
            <w:tcW w:w="92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真空泵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螺杆泵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400m3/h</w:t>
            </w:r>
          </w:p>
        </w:tc>
        <w:tc>
          <w:tcPr>
            <w:tcW w:w="217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溶媒回收</w:t>
            </w:r>
          </w:p>
        </w:tc>
        <w:tc>
          <w:tcPr>
            <w:tcW w:w="113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autoSpaceDN w:val="0"/>
        <w:spacing w:line="23" w:lineRule="atLeast"/>
        <w:jc w:val="left"/>
        <w:rPr>
          <w:rFonts w:hint="default" w:ascii="宋体" w:hAnsi="宋体" w:eastAsia="宋体"/>
          <w:color w:val="000000"/>
          <w:sz w:val="28"/>
          <w:szCs w:val="28"/>
          <w:lang w:eastAsia="zh-CN"/>
        </w:rPr>
      </w:pPr>
    </w:p>
    <w:p>
      <w:pPr>
        <w:spacing w:line="360" w:lineRule="auto"/>
        <w:ind w:left="360" w:hanging="36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．</w:t>
      </w:r>
      <w:r>
        <w:rPr>
          <w:rFonts w:hint="eastAsia" w:ascii="宋体" w:hAnsi="宋体" w:cs="宋体"/>
          <w:color w:val="000000"/>
          <w:sz w:val="28"/>
          <w:szCs w:val="28"/>
        </w:rPr>
        <w:t>有意向的</w:t>
      </w:r>
      <w:r>
        <w:rPr>
          <w:rFonts w:hint="eastAsia" w:ascii="宋体" w:hAnsi="宋体" w:cs="宋体"/>
          <w:color w:val="000000"/>
          <w:sz w:val="28"/>
          <w:szCs w:val="28"/>
        </w:rPr>
        <w:t>制造商</w:t>
      </w:r>
      <w:r>
        <w:rPr>
          <w:rFonts w:hint="eastAsia" w:ascii="宋体" w:hAnsi="宋体" w:cs="宋体"/>
          <w:color w:val="000000"/>
          <w:sz w:val="28"/>
          <w:szCs w:val="28"/>
        </w:rPr>
        <w:t>可从安徽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生物制药</w:t>
      </w:r>
      <w:r>
        <w:rPr>
          <w:rFonts w:hint="eastAsia" w:ascii="宋体" w:hAnsi="宋体" w:cs="宋体"/>
          <w:color w:val="000000"/>
          <w:sz w:val="28"/>
          <w:szCs w:val="28"/>
        </w:rPr>
        <w:t>有限公司得到进一步的信息和查阅招标文件。</w:t>
      </w:r>
    </w:p>
    <w:p>
      <w:pPr>
        <w:spacing w:line="360" w:lineRule="auto"/>
        <w:ind w:left="360" w:hanging="36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．</w:t>
      </w:r>
      <w:r>
        <w:rPr>
          <w:rFonts w:hint="eastAsia" w:ascii="宋体" w:hAnsi="宋体" w:cs="宋体"/>
          <w:color w:val="000000"/>
          <w:sz w:val="28"/>
          <w:szCs w:val="28"/>
        </w:rPr>
        <w:t>定于201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年1月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8"/>
          <w:szCs w:val="28"/>
        </w:rPr>
        <w:t>日，在</w:t>
      </w:r>
      <w:r>
        <w:rPr>
          <w:rFonts w:hint="eastAsia" w:ascii="宋体" w:hAnsi="宋体" w:cs="宋体"/>
          <w:color w:val="000000"/>
          <w:sz w:val="28"/>
          <w:szCs w:val="28"/>
        </w:rPr>
        <w:t>安徽太和县温泉度假村贵宾室</w:t>
      </w:r>
      <w:r>
        <w:rPr>
          <w:rFonts w:hint="eastAsia" w:ascii="宋体" w:hAnsi="宋体" w:cs="宋体"/>
          <w:color w:val="000000"/>
          <w:sz w:val="28"/>
          <w:szCs w:val="28"/>
        </w:rPr>
        <w:t>公开开标。届时邀请投标人的代表出席开标仪式。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招标人：</w:t>
      </w:r>
      <w:r>
        <w:rPr>
          <w:rFonts w:hint="eastAsia" w:ascii="宋体" w:hAnsi="宋体" w:cs="宋体"/>
          <w:color w:val="000000"/>
          <w:sz w:val="28"/>
          <w:szCs w:val="28"/>
        </w:rPr>
        <w:t>安徽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生物制药</w:t>
      </w:r>
      <w:r>
        <w:rPr>
          <w:rFonts w:hint="eastAsia" w:ascii="宋体" w:hAnsi="宋体" w:cs="宋体"/>
          <w:color w:val="000000"/>
          <w:sz w:val="28"/>
          <w:szCs w:val="28"/>
        </w:rPr>
        <w:t>有限公司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投标文件递交地址</w:t>
      </w:r>
      <w:r>
        <w:rPr>
          <w:rFonts w:hint="eastAsia" w:ascii="宋体" w:hAnsi="宋体" w:cs="宋体"/>
          <w:color w:val="000000"/>
          <w:sz w:val="28"/>
          <w:szCs w:val="28"/>
        </w:rPr>
        <w:t>：安徽省太和县镜湖中路82号（火车售票处四楼）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邮    编</w:t>
      </w:r>
      <w:r>
        <w:rPr>
          <w:rFonts w:hint="eastAsia" w:ascii="宋体" w:hAnsi="宋体" w:cs="宋体"/>
          <w:color w:val="000000"/>
          <w:sz w:val="28"/>
          <w:szCs w:val="28"/>
        </w:rPr>
        <w:t>：236600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联 系 人</w:t>
      </w:r>
      <w:r>
        <w:rPr>
          <w:rFonts w:hint="eastAsia" w:ascii="宋体" w:hAnsi="宋体" w:cs="宋体"/>
          <w:color w:val="000000"/>
          <w:sz w:val="28"/>
          <w:szCs w:val="28"/>
        </w:rPr>
        <w:t>：张娟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电    话</w:t>
      </w:r>
      <w:r>
        <w:rPr>
          <w:rFonts w:hint="eastAsia" w:ascii="宋体" w:hAnsi="宋体" w:cs="宋体"/>
          <w:color w:val="000000"/>
          <w:sz w:val="28"/>
          <w:szCs w:val="28"/>
        </w:rPr>
        <w:t>：13909681521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传    真：0558-8215866     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邮    箱：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"mailto:810642793@qq.com" </w:instrText>
      </w:r>
      <w:r>
        <w:rPr>
          <w:color w:val="000000"/>
        </w:rPr>
        <w:fldChar w:fldCharType="separate"/>
      </w:r>
      <w:r>
        <w:rPr>
          <w:rStyle w:val="4"/>
          <w:rFonts w:hint="eastAsia" w:ascii="宋体" w:hAnsi="宋体" w:cs="宋体"/>
          <w:b/>
          <w:color w:val="000000"/>
          <w:sz w:val="28"/>
          <w:szCs w:val="28"/>
        </w:rPr>
        <w:t>810642793@qq</w:t>
      </w:r>
      <w:r>
        <w:rPr>
          <w:rStyle w:val="4"/>
          <w:rFonts w:hint="eastAsia" w:ascii="宋体" w:hAnsi="宋体" w:cs="宋体"/>
          <w:color w:val="000000"/>
          <w:sz w:val="28"/>
          <w:szCs w:val="28"/>
        </w:rPr>
        <w:t>.com</w:t>
      </w:r>
      <w:r>
        <w:rPr>
          <w:color w:val="000000"/>
        </w:rPr>
        <w:fldChar w:fldCharType="end"/>
      </w:r>
    </w:p>
    <w:p>
      <w:pPr>
        <w:rPr>
          <w:color w:val="000000"/>
        </w:rPr>
      </w:pP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简楷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Univers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Helvetica">
    <w:altName w:val="Microsoft Sans Serif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隶书">
    <w:altName w:val="宋体"/>
    <w:panose1 w:val="02010509060101010101"/>
    <w:charset w:val="86"/>
    <w:family w:val="auto"/>
    <w:pitch w:val="default"/>
    <w:sig w:usb0="00000001" w:usb1="080E0000" w:usb2="00000010" w:usb3="00000000" w:csb0="00040000" w:csb1="00000000"/>
  </w:font>
  <w:font w:name="Arial,BoldItalic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abon">
    <w:altName w:val="Times New Roman"/>
    <w:panose1 w:val="02020602060200020203"/>
    <w:charset w:val="00"/>
    <w:family w:val="auto"/>
    <w:pitch w:val="default"/>
    <w:sig w:usb0="00000287" w:usb1="00000000" w:usb2="00000000" w:usb3="00000000" w:csb0="0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DFKai-SB">
    <w:altName w:val="MingLiU"/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金梅簡體中黑字形">
    <w:altName w:val="MingLiU"/>
    <w:panose1 w:val="00000000000000000000"/>
    <w:charset w:val="88"/>
    <w:family w:val="auto"/>
    <w:pitch w:val="default"/>
    <w:sig w:usb0="00000000" w:usb1="08080000" w:usb2="00000010" w:usb3="00000000" w:csb0="001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FZFangSong-Z02S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文新字海-粗楷">
    <w:altName w:val="PMingLiU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華康粗明體">
    <w:altName w:val="PMingLiU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Angsana New">
    <w:altName w:val="MV Boli"/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FZZhongDengXian-Z07S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華康粗黑體">
    <w:altName w:val="PMingLiU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DFLiHeiBold(P)">
    <w:altName w:val="MingLiU"/>
    <w:panose1 w:val="020B0900010101010101"/>
    <w:charset w:val="88"/>
    <w:family w:val="auto"/>
    <w:pitch w:val="default"/>
    <w:sig w:usb0="80000001" w:usb1="28091800" w:usb2="00000016" w:usb3="00000000" w:csb0="00100000" w:csb1="00000000"/>
  </w:font>
  <w:font w:name="Frutiger">
    <w:altName w:val="Courier New"/>
    <w:panose1 w:val="02027200000000000000"/>
    <w:charset w:val="00"/>
    <w:family w:val="auto"/>
    <w:pitch w:val="default"/>
    <w:sig w:usb0="00000003" w:usb1="00000000" w:usb2="00000000" w:usb3="00000000" w:csb0="00000001" w:csb1="00000000"/>
  </w:font>
  <w:font w:name="黑体_x0008_...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_x0008_..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e眠副浡渀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_x0008_...猈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3">
    <w:name w:val="Default Paragraph Font"/>
    <w:uiPriority w:val="0"/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国内"/>
    <w:basedOn w:val="2"/>
    <w:uiPriority w:val="0"/>
    <w:pPr>
      <w:spacing w:before="0" w:after="0" w:line="240" w:lineRule="auto"/>
      <w:jc w:val="center"/>
    </w:pPr>
    <w:rPr>
      <w:rFonts w:ascii="Arial" w:hAnsi="Arial" w:eastAsia="黑体"/>
      <w:b w:val="0"/>
      <w:bCs w:val="0"/>
      <w:kern w:val="2"/>
      <w:sz w:val="52"/>
      <w:szCs w:val="52"/>
    </w:rPr>
  </w:style>
  <w:style w:type="paragraph" w:customStyle="1" w:styleId="6">
    <w:name w:val="Style Style Style Style Style Text + Left:  4 ch Right:  4 ch + Lef..."/>
    <w:uiPriority w:val="0"/>
    <w:pPr>
      <w:widowControl w:val="0"/>
      <w:ind w:left="400" w:leftChars="400" w:right="400" w:rightChars="400"/>
      <w:jc w:val="both"/>
    </w:pPr>
    <w:rPr>
      <w:rFonts w:ascii="Arial" w:hAnsi="Arial" w:cs="宋体"/>
      <w:kern w:val="2"/>
      <w:sz w:val="21"/>
      <w:lang w:eastAsia="zh-CN"/>
    </w:rPr>
  </w:style>
  <w:style w:type="character" w:customStyle="1" w:styleId="7">
    <w:name w:val="标题 1 Char"/>
    <w:basedOn w:val="3"/>
    <w:link w:val="2"/>
    <w:semiHidden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ScaleCrop>false</ScaleCrop>
  <LinksUpToDate>false</LinksUpToDate>
  <CharactersWithSpaces>0</CharactersWithSpaces>
  <Application>WPS Office 个人版_9.1.0.4429_{F1E327BC-269C-435d-A152-05C5408002CA}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2013-12-07T03:25:00Z</dcterms:created>
  <dc:creator>admin</dc:creator>
  <cp:lastModifiedBy>Administrator</cp:lastModifiedBy>
  <dcterms:modified xsi:type="dcterms:W3CDTF">2014-01-03T05:57:11Z</dcterms:modified>
  <dc:title>投 标 邀 请 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